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960A" w14:textId="77777777" w:rsidR="00613524" w:rsidRDefault="00A90335">
      <w:pPr>
        <w:pStyle w:val="Titolo"/>
      </w:pPr>
      <w:r>
        <w:rPr>
          <w:color w:val="C50F3B"/>
        </w:rPr>
        <w:t>Scheda</w:t>
      </w:r>
      <w:r>
        <w:rPr>
          <w:color w:val="C50F3B"/>
          <w:spacing w:val="-5"/>
        </w:rPr>
        <w:t xml:space="preserve"> </w:t>
      </w:r>
      <w:r>
        <w:rPr>
          <w:color w:val="C50F3B"/>
          <w:spacing w:val="-2"/>
        </w:rPr>
        <w:t>Patologia</w:t>
      </w:r>
    </w:p>
    <w:p w14:paraId="4801960B" w14:textId="77777777" w:rsidR="00613524" w:rsidRDefault="00A90335">
      <w:pPr>
        <w:pStyle w:val="Corpotesto"/>
        <w:spacing w:before="259"/>
        <w:ind w:left="16"/>
      </w:pPr>
      <w:r>
        <w:rPr>
          <w:color w:val="C50F3B"/>
        </w:rPr>
        <w:t>PATOLOGIA</w:t>
      </w:r>
      <w:r>
        <w:rPr>
          <w:color w:val="C50F3B"/>
          <w:spacing w:val="17"/>
        </w:rPr>
        <w:t xml:space="preserve"> </w:t>
      </w:r>
      <w:r>
        <w:rPr>
          <w:color w:val="C50F3B"/>
          <w:spacing w:val="-2"/>
        </w:rPr>
        <w:t>MAMMARIA</w:t>
      </w:r>
    </w:p>
    <w:p w14:paraId="4801960C" w14:textId="77777777" w:rsidR="00613524" w:rsidRDefault="00A90335">
      <w:pPr>
        <w:pStyle w:val="Corpotesto"/>
        <w:spacing w:before="12" w:line="249" w:lineRule="auto"/>
        <w:ind w:left="12" w:right="11"/>
        <w:jc w:val="both"/>
      </w:pPr>
      <w:r>
        <w:rPr>
          <w:color w:val="4C5358"/>
        </w:rPr>
        <w:t>Il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tumore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al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seno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è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il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secondo</w:t>
      </w:r>
      <w:r>
        <w:rPr>
          <w:color w:val="4C5358"/>
          <w:spacing w:val="-3"/>
        </w:rPr>
        <w:t xml:space="preserve"> </w:t>
      </w:r>
      <w:r>
        <w:rPr>
          <w:color w:val="4C5358"/>
        </w:rPr>
        <w:t>tumore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più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diagnosticato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al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mondo,</w:t>
      </w:r>
      <w:r>
        <w:rPr>
          <w:color w:val="4C5358"/>
          <w:spacing w:val="-3"/>
        </w:rPr>
        <w:t xml:space="preserve"> </w:t>
      </w:r>
      <w:r>
        <w:rPr>
          <w:color w:val="4C5358"/>
        </w:rPr>
        <w:t>con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circa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2,3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milioni</w:t>
      </w:r>
      <w:r>
        <w:rPr>
          <w:color w:val="4C5358"/>
          <w:spacing w:val="-3"/>
        </w:rPr>
        <w:t xml:space="preserve"> </w:t>
      </w:r>
      <w:r>
        <w:rPr>
          <w:color w:val="4C5358"/>
        </w:rPr>
        <w:t>di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nuovi</w:t>
      </w:r>
      <w:r>
        <w:rPr>
          <w:color w:val="4C5358"/>
          <w:spacing w:val="-3"/>
        </w:rPr>
        <w:t xml:space="preserve"> </w:t>
      </w:r>
      <w:r>
        <w:rPr>
          <w:color w:val="4C5358"/>
        </w:rPr>
        <w:t>casi ogni anno.</w:t>
      </w:r>
    </w:p>
    <w:p w14:paraId="4801960D" w14:textId="77777777" w:rsidR="00613524" w:rsidRDefault="00A90335">
      <w:pPr>
        <w:pStyle w:val="Corpotesto"/>
        <w:spacing w:before="2" w:line="249" w:lineRule="auto"/>
        <w:ind w:left="12" w:right="9"/>
        <w:jc w:val="both"/>
      </w:pPr>
      <w:r>
        <w:rPr>
          <w:color w:val="4C5358"/>
        </w:rPr>
        <w:t>Questo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equivale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a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un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tasso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di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46,8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casi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ogni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100.000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persone,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indicando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quanto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sia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comune</w:t>
      </w:r>
      <w:r>
        <w:rPr>
          <w:color w:val="4C5358"/>
          <w:spacing w:val="-13"/>
        </w:rPr>
        <w:t xml:space="preserve"> </w:t>
      </w:r>
      <w:r>
        <w:rPr>
          <w:color w:val="4C5358"/>
        </w:rPr>
        <w:t>questa malattia a livello globale. In termini di mortalità, il tumore al seno rappresenta la quarta causa di morte per cancro, con 666.103 decessi all’anno e un tasso di 12,7 decessi ogni 100.000 persone. A livello geografico, l’Asia registra il maggior numero di casi (42,9%) e decessi (47,3%), seguita dall’Europa con il 24,3% dei casi e il 21,7% delle morti.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Anche in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America del Nord ci sono numeri significativi, con il 13,3% dei casi e il 7,5% dei decessi. Sebbene le percentuali siano inferiori in America Latina,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Africa e Oceania, queste regioni continuano a essere significativamente colpite</w:t>
      </w:r>
      <w:r>
        <w:rPr>
          <w:color w:val="4C5358"/>
          <w:position w:val="8"/>
          <w:sz w:val="14"/>
        </w:rPr>
        <w:t>1</w:t>
      </w:r>
      <w:r>
        <w:rPr>
          <w:color w:val="4C5358"/>
        </w:rPr>
        <w:t>.</w:t>
      </w:r>
    </w:p>
    <w:p w14:paraId="4801960E" w14:textId="3C773E46" w:rsidR="00613524" w:rsidRDefault="00A90335">
      <w:pPr>
        <w:pStyle w:val="Corpotesto"/>
        <w:spacing w:before="7" w:line="249" w:lineRule="auto"/>
        <w:ind w:left="12" w:right="9"/>
        <w:jc w:val="both"/>
      </w:pPr>
      <w:r>
        <w:rPr>
          <w:color w:val="4C5358"/>
        </w:rPr>
        <w:t xml:space="preserve">In Italia, nel 2024, sono state stimate circa 53.686 nuove diagnosi di tumore al seno tra le donne. </w:t>
      </w:r>
      <w:r>
        <w:rPr>
          <w:color w:val="4C5358"/>
          <w:spacing w:val="-2"/>
        </w:rPr>
        <w:t>Questo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dato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ci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ricorda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quanto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sia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comune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questa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patologia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e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quanto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siano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fondamentale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lo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 xml:space="preserve">screening </w:t>
      </w:r>
      <w:r>
        <w:rPr>
          <w:color w:val="4C5358"/>
        </w:rPr>
        <w:t>e la diagnosi precoce per individuare la malattia nelle sue fasi iniziali. Nel 2022, il tumore al seno ha causato circa 15.500 decessi. Anche se i dati per il 2024 non sono ancora disponibili, questo numero sottolinea la serietà della malattia e l’i</w:t>
      </w:r>
      <w:r>
        <w:rPr>
          <w:color w:val="4C5358"/>
        </w:rPr>
        <w:t xml:space="preserve">mportanza di continuare a migliorare le terapie. Un dato positivo è che l’88% delle pazienti riesce a sopravvivere a cinque anni dalla diagnosi. Questo </w:t>
      </w:r>
      <w:r>
        <w:rPr>
          <w:color w:val="4C5358"/>
          <w:spacing w:val="-2"/>
        </w:rPr>
        <w:t>risultato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è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dovuto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ai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progressi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fatti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nei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trattamenti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e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all’efficacia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degli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interventi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precoci.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Inoltre,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>per</w:t>
      </w:r>
      <w:r>
        <w:rPr>
          <w:color w:val="4C5358"/>
          <w:spacing w:val="-7"/>
        </w:rPr>
        <w:t xml:space="preserve"> </w:t>
      </w:r>
      <w:r>
        <w:rPr>
          <w:color w:val="4C5358"/>
          <w:spacing w:val="-2"/>
        </w:rPr>
        <w:t xml:space="preserve">chi </w:t>
      </w:r>
      <w:r>
        <w:rPr>
          <w:color w:val="4C5358"/>
        </w:rPr>
        <w:t>supera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il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primo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anno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dalla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diagnosi,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la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probabilità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di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vivere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altri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quattro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anni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è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del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91%,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dimostrando che la prognosi migliora sensibilmente con il tempo. Infine, è importante sottolineare che in Italia</w:t>
      </w:r>
      <w:r>
        <w:rPr>
          <w:color w:val="4C5358"/>
          <w:spacing w:val="80"/>
        </w:rPr>
        <w:t xml:space="preserve"> </w:t>
      </w:r>
      <w:r>
        <w:rPr>
          <w:color w:val="4C5358"/>
        </w:rPr>
        <w:t>ci sono attualmente circa 834.200 donne che vivono dopo una diagnosi di tumore al seno. Questo numero crescente di sopravvissute è un segnale incoraggiante dei progressi nella cura e nella gestione della malattia</w:t>
      </w:r>
      <w:r>
        <w:rPr>
          <w:color w:val="4C5358"/>
          <w:position w:val="8"/>
          <w:sz w:val="14"/>
        </w:rPr>
        <w:t>2</w:t>
      </w:r>
      <w:r>
        <w:rPr>
          <w:color w:val="343739"/>
        </w:rPr>
        <w:t>.</w:t>
      </w:r>
    </w:p>
    <w:p w14:paraId="4801960F" w14:textId="77777777" w:rsidR="00613524" w:rsidRDefault="00613524">
      <w:pPr>
        <w:pStyle w:val="Corpotesto"/>
        <w:spacing w:before="24"/>
      </w:pPr>
    </w:p>
    <w:p w14:paraId="48019610" w14:textId="77777777" w:rsidR="00613524" w:rsidRDefault="00A90335">
      <w:pPr>
        <w:pStyle w:val="Corpotesto"/>
        <w:ind w:left="16"/>
        <w:jc w:val="both"/>
      </w:pPr>
      <w:r>
        <w:rPr>
          <w:color w:val="C22026"/>
        </w:rPr>
        <w:t>MALATTIA</w:t>
      </w:r>
      <w:r>
        <w:rPr>
          <w:color w:val="C22026"/>
          <w:spacing w:val="33"/>
        </w:rPr>
        <w:t xml:space="preserve"> </w:t>
      </w:r>
      <w:r>
        <w:rPr>
          <w:color w:val="C22026"/>
          <w:spacing w:val="-2"/>
        </w:rPr>
        <w:t>METASTATICA</w:t>
      </w:r>
    </w:p>
    <w:p w14:paraId="48019611" w14:textId="0AD87E43" w:rsidR="00613524" w:rsidRDefault="00A90335">
      <w:pPr>
        <w:pStyle w:val="Corpotesto"/>
        <w:spacing w:before="12" w:line="249" w:lineRule="auto"/>
        <w:ind w:left="12" w:right="10"/>
        <w:jc w:val="both"/>
      </w:pPr>
      <w:r>
        <w:rPr>
          <w:color w:val="4C5358"/>
        </w:rPr>
        <w:t xml:space="preserve">Circa il 6-7% delle diagnosi di tumore al seno evidenzia una condizione metastatica sin dall’inizio. </w:t>
      </w:r>
      <w:r>
        <w:rPr>
          <w:color w:val="4C5358"/>
          <w:spacing w:val="-2"/>
        </w:rPr>
        <w:t>Tuttavia,</w:t>
      </w:r>
      <w:r>
        <w:rPr>
          <w:color w:val="4C5358"/>
          <w:spacing w:val="-15"/>
        </w:rPr>
        <w:t xml:space="preserve"> </w:t>
      </w:r>
      <w:r>
        <w:rPr>
          <w:color w:val="4C5358"/>
          <w:spacing w:val="-2"/>
        </w:rPr>
        <w:t>la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stragrande</w:t>
      </w:r>
      <w:r>
        <w:rPr>
          <w:color w:val="4C5358"/>
          <w:spacing w:val="-15"/>
        </w:rPr>
        <w:t xml:space="preserve"> </w:t>
      </w:r>
      <w:r>
        <w:rPr>
          <w:color w:val="4C5358"/>
          <w:spacing w:val="-2"/>
        </w:rPr>
        <w:t>maggioranza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delle</w:t>
      </w:r>
      <w:r>
        <w:rPr>
          <w:color w:val="4C5358"/>
          <w:spacing w:val="-15"/>
        </w:rPr>
        <w:t xml:space="preserve"> </w:t>
      </w:r>
      <w:r>
        <w:rPr>
          <w:color w:val="4C5358"/>
          <w:spacing w:val="-2"/>
        </w:rPr>
        <w:t>donne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in</w:t>
      </w:r>
      <w:r>
        <w:rPr>
          <w:color w:val="4C5358"/>
          <w:spacing w:val="-15"/>
        </w:rPr>
        <w:t xml:space="preserve"> </w:t>
      </w:r>
      <w:r>
        <w:rPr>
          <w:color w:val="4C5358"/>
          <w:spacing w:val="-2"/>
        </w:rPr>
        <w:t>Italia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affette</w:t>
      </w:r>
      <w:r>
        <w:rPr>
          <w:color w:val="4C5358"/>
          <w:spacing w:val="-15"/>
        </w:rPr>
        <w:t xml:space="preserve"> </w:t>
      </w:r>
      <w:r>
        <w:rPr>
          <w:color w:val="4C5358"/>
          <w:spacing w:val="-2"/>
        </w:rPr>
        <w:t>da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>carcinoma</w:t>
      </w:r>
      <w:r>
        <w:rPr>
          <w:color w:val="4C5358"/>
          <w:spacing w:val="-15"/>
        </w:rPr>
        <w:t xml:space="preserve"> </w:t>
      </w:r>
      <w:r>
        <w:rPr>
          <w:color w:val="4C5358"/>
          <w:spacing w:val="-2"/>
        </w:rPr>
        <w:t>mammario</w:t>
      </w:r>
      <w:r>
        <w:rPr>
          <w:color w:val="4C5358"/>
          <w:spacing w:val="-14"/>
        </w:rPr>
        <w:t xml:space="preserve"> </w:t>
      </w:r>
      <w:r>
        <w:rPr>
          <w:color w:val="4C5358"/>
          <w:spacing w:val="-2"/>
        </w:rPr>
        <w:t xml:space="preserve">metastatico, </w:t>
      </w:r>
      <w:r>
        <w:rPr>
          <w:color w:val="4C5358"/>
        </w:rPr>
        <w:t>che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ammontano</w:t>
      </w:r>
      <w:r>
        <w:rPr>
          <w:color w:val="4C5358"/>
          <w:spacing w:val="-7"/>
        </w:rPr>
        <w:t xml:space="preserve"> </w:t>
      </w:r>
      <w:r w:rsidR="00270E9B">
        <w:rPr>
          <w:color w:val="4C5358"/>
        </w:rPr>
        <w:t>oltre</w:t>
      </w:r>
      <w:r>
        <w:rPr>
          <w:color w:val="4C5358"/>
          <w:spacing w:val="-7"/>
        </w:rPr>
        <w:t xml:space="preserve"> </w:t>
      </w:r>
      <w:r w:rsidR="00270E9B">
        <w:rPr>
          <w:color w:val="4C5358"/>
        </w:rPr>
        <w:t>52</w:t>
      </w:r>
      <w:r>
        <w:rPr>
          <w:color w:val="4C5358"/>
        </w:rPr>
        <w:t>.000</w:t>
      </w:r>
      <w:r w:rsidR="00270E9B">
        <w:rPr>
          <w:color w:val="4C5358"/>
          <w:vertAlign w:val="superscript"/>
        </w:rPr>
        <w:t>3</w:t>
      </w:r>
      <w:r>
        <w:rPr>
          <w:color w:val="4C5358"/>
        </w:rPr>
        <w:t>,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sperimentano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una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recidiva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della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malattia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dopo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essere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state</w:t>
      </w:r>
      <w:r>
        <w:rPr>
          <w:color w:val="4C5358"/>
          <w:spacing w:val="-7"/>
        </w:rPr>
        <w:t xml:space="preserve"> </w:t>
      </w:r>
      <w:r>
        <w:rPr>
          <w:color w:val="4C5358"/>
        </w:rPr>
        <w:t>trattate per una forma iniziale del carcinoma. I miglioramenti nei trattamenti diagnostici e terapeutici, l’introduzione di nuovi farmaci antitumorali, l’efficacia delle terapie di supporto e l’integrazione ottimale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delle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terapie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sistemiche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con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quelle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locali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hanno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significativamente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esteso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la</w:t>
      </w:r>
      <w:r>
        <w:rPr>
          <w:color w:val="4C5358"/>
          <w:spacing w:val="-9"/>
        </w:rPr>
        <w:t xml:space="preserve"> </w:t>
      </w:r>
      <w:r>
        <w:rPr>
          <w:color w:val="4C5358"/>
        </w:rPr>
        <w:t>sopravvivenza delle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pazienti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affette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da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questa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forma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avanzata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di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malattia.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La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definizione</w:t>
      </w:r>
      <w:r>
        <w:rPr>
          <w:color w:val="4C5358"/>
          <w:spacing w:val="-4"/>
        </w:rPr>
        <w:t xml:space="preserve"> </w:t>
      </w:r>
      <w:r>
        <w:rPr>
          <w:color w:val="4C5358"/>
        </w:rPr>
        <w:t>del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trattamento</w:t>
      </w:r>
      <w:r>
        <w:rPr>
          <w:color w:val="4C5358"/>
          <w:spacing w:val="-5"/>
        </w:rPr>
        <w:t xml:space="preserve"> </w:t>
      </w:r>
      <w:r>
        <w:rPr>
          <w:color w:val="4C5358"/>
        </w:rPr>
        <w:t>sistemico prende in considerazione diversi fattori, tra cui i parametri biologici del tumore, le caratteristiche</w:t>
      </w:r>
      <w:r>
        <w:rPr>
          <w:color w:val="4C5358"/>
        </w:rPr>
        <w:t xml:space="preserve"> specifiche della neoplasia, lo stato psico-fisico della paziente e i trattamenti precedentemente ricevuti, sia in ambito neoadiuvante che adiuvante</w:t>
      </w:r>
      <w:r>
        <w:rPr>
          <w:color w:val="4C5358"/>
          <w:position w:val="8"/>
          <w:sz w:val="14"/>
        </w:rPr>
        <w:t>2</w:t>
      </w:r>
      <w:r>
        <w:rPr>
          <w:color w:val="4C5358"/>
        </w:rPr>
        <w:t>.</w:t>
      </w:r>
    </w:p>
    <w:p w14:paraId="48019612" w14:textId="77777777" w:rsidR="00613524" w:rsidRDefault="00613524">
      <w:pPr>
        <w:pStyle w:val="Corpotesto"/>
      </w:pPr>
    </w:p>
    <w:p w14:paraId="48019613" w14:textId="77777777" w:rsidR="00613524" w:rsidRDefault="00613524">
      <w:pPr>
        <w:pStyle w:val="Corpotesto"/>
      </w:pPr>
    </w:p>
    <w:p w14:paraId="48019614" w14:textId="77777777" w:rsidR="00613524" w:rsidRDefault="00613524">
      <w:pPr>
        <w:pStyle w:val="Corpotesto"/>
      </w:pPr>
    </w:p>
    <w:p w14:paraId="48019615" w14:textId="77777777" w:rsidR="00613524" w:rsidRDefault="00613524">
      <w:pPr>
        <w:pStyle w:val="Corpotesto"/>
      </w:pPr>
    </w:p>
    <w:p w14:paraId="48019616" w14:textId="77777777" w:rsidR="00613524" w:rsidRDefault="00613524">
      <w:pPr>
        <w:pStyle w:val="Corpotesto"/>
      </w:pPr>
    </w:p>
    <w:p w14:paraId="48019617" w14:textId="77777777" w:rsidR="00613524" w:rsidRDefault="00613524">
      <w:pPr>
        <w:pStyle w:val="Corpotesto"/>
      </w:pPr>
    </w:p>
    <w:p w14:paraId="4801961B" w14:textId="77777777" w:rsidR="00613524" w:rsidRDefault="00613524">
      <w:pPr>
        <w:pStyle w:val="Corpotesto"/>
      </w:pPr>
    </w:p>
    <w:p w14:paraId="4801961C" w14:textId="77777777" w:rsidR="00613524" w:rsidRDefault="00613524">
      <w:pPr>
        <w:pStyle w:val="Corpotesto"/>
        <w:spacing w:before="158"/>
      </w:pPr>
    </w:p>
    <w:p w14:paraId="4801961D" w14:textId="77777777" w:rsidR="00613524" w:rsidRDefault="00A90335">
      <w:pPr>
        <w:ind w:left="12"/>
        <w:jc w:val="both"/>
        <w:rPr>
          <w:sz w:val="20"/>
        </w:rPr>
      </w:pPr>
      <w:r>
        <w:rPr>
          <w:color w:val="C22026"/>
          <w:sz w:val="20"/>
        </w:rPr>
        <w:t>Riferimenti</w:t>
      </w:r>
      <w:r>
        <w:rPr>
          <w:color w:val="C22026"/>
          <w:spacing w:val="-10"/>
          <w:sz w:val="20"/>
        </w:rPr>
        <w:t xml:space="preserve"> </w:t>
      </w:r>
      <w:r>
        <w:rPr>
          <w:color w:val="C22026"/>
          <w:spacing w:val="-2"/>
          <w:sz w:val="20"/>
        </w:rPr>
        <w:t>bibliografici</w:t>
      </w:r>
    </w:p>
    <w:p w14:paraId="4801961E" w14:textId="77777777" w:rsidR="00613524" w:rsidRDefault="00A90335">
      <w:pPr>
        <w:pStyle w:val="Paragrafoelenco"/>
        <w:numPr>
          <w:ilvl w:val="0"/>
          <w:numId w:val="1"/>
        </w:numPr>
        <w:tabs>
          <w:tab w:val="left" w:pos="371"/>
        </w:tabs>
        <w:ind w:left="371" w:hanging="359"/>
        <w:rPr>
          <w:i/>
          <w:sz w:val="20"/>
        </w:rPr>
      </w:pPr>
      <w:r>
        <w:rPr>
          <w:i/>
          <w:color w:val="343739"/>
          <w:spacing w:val="-2"/>
          <w:sz w:val="20"/>
        </w:rPr>
        <w:t>GLOBOCAN</w:t>
      </w:r>
    </w:p>
    <w:p w14:paraId="4801961F" w14:textId="77777777" w:rsidR="00613524" w:rsidRPr="00270E9B" w:rsidRDefault="00A90335">
      <w:pPr>
        <w:pStyle w:val="Paragrafoelenco"/>
        <w:numPr>
          <w:ilvl w:val="0"/>
          <w:numId w:val="1"/>
        </w:numPr>
        <w:tabs>
          <w:tab w:val="left" w:pos="371"/>
        </w:tabs>
        <w:ind w:left="371" w:hanging="359"/>
        <w:rPr>
          <w:i/>
          <w:sz w:val="20"/>
        </w:rPr>
      </w:pPr>
      <w:r>
        <w:rPr>
          <w:i/>
          <w:color w:val="343739"/>
          <w:sz w:val="20"/>
        </w:rPr>
        <w:t>I</w:t>
      </w:r>
      <w:r>
        <w:rPr>
          <w:i/>
          <w:color w:val="343739"/>
          <w:spacing w:val="-3"/>
          <w:sz w:val="20"/>
        </w:rPr>
        <w:t xml:space="preserve"> </w:t>
      </w:r>
      <w:r>
        <w:rPr>
          <w:i/>
          <w:color w:val="343739"/>
          <w:sz w:val="20"/>
        </w:rPr>
        <w:t>numeri</w:t>
      </w:r>
      <w:r>
        <w:rPr>
          <w:i/>
          <w:color w:val="343739"/>
          <w:spacing w:val="-3"/>
          <w:sz w:val="20"/>
        </w:rPr>
        <w:t xml:space="preserve"> </w:t>
      </w:r>
      <w:r>
        <w:rPr>
          <w:i/>
          <w:color w:val="343739"/>
          <w:sz w:val="20"/>
        </w:rPr>
        <w:t>del</w:t>
      </w:r>
      <w:r>
        <w:rPr>
          <w:i/>
          <w:color w:val="343739"/>
          <w:spacing w:val="-3"/>
          <w:sz w:val="20"/>
        </w:rPr>
        <w:t xml:space="preserve"> </w:t>
      </w:r>
      <w:r>
        <w:rPr>
          <w:i/>
          <w:color w:val="343739"/>
          <w:sz w:val="20"/>
        </w:rPr>
        <w:t>cancro</w:t>
      </w:r>
      <w:r>
        <w:rPr>
          <w:i/>
          <w:color w:val="343739"/>
          <w:spacing w:val="-3"/>
          <w:sz w:val="20"/>
        </w:rPr>
        <w:t xml:space="preserve"> </w:t>
      </w:r>
      <w:r>
        <w:rPr>
          <w:i/>
          <w:color w:val="343739"/>
          <w:sz w:val="20"/>
        </w:rPr>
        <w:t>2024-</w:t>
      </w:r>
      <w:r>
        <w:rPr>
          <w:i/>
          <w:color w:val="343739"/>
          <w:spacing w:val="-4"/>
          <w:sz w:val="20"/>
        </w:rPr>
        <w:t>AIOM</w:t>
      </w:r>
    </w:p>
    <w:p w14:paraId="6DD0AD6E" w14:textId="77777777" w:rsidR="00C069EB" w:rsidRPr="00C069EB" w:rsidRDefault="00C069EB" w:rsidP="00C069EB">
      <w:pPr>
        <w:pStyle w:val="Paragrafoelenco"/>
        <w:widowControl/>
        <w:numPr>
          <w:ilvl w:val="0"/>
          <w:numId w:val="1"/>
        </w:numPr>
        <w:autoSpaceDE/>
        <w:autoSpaceDN/>
        <w:spacing w:before="0"/>
        <w:contextualSpacing/>
        <w:jc w:val="both"/>
        <w:rPr>
          <w:i/>
          <w:iCs/>
          <w:sz w:val="20"/>
          <w:szCs w:val="20"/>
          <w:lang w:val="en-US"/>
        </w:rPr>
      </w:pPr>
      <w:r w:rsidRPr="00C069EB">
        <w:rPr>
          <w:i/>
          <w:iCs/>
          <w:sz w:val="20"/>
          <w:szCs w:val="20"/>
        </w:rPr>
        <w:t xml:space="preserve">Mangone, L., Bisceglia, I., </w:t>
      </w:r>
      <w:proofErr w:type="spellStart"/>
      <w:r w:rsidRPr="00C069EB">
        <w:rPr>
          <w:i/>
          <w:iCs/>
          <w:sz w:val="20"/>
          <w:szCs w:val="20"/>
        </w:rPr>
        <w:t>Michiara</w:t>
      </w:r>
      <w:proofErr w:type="spellEnd"/>
      <w:r w:rsidRPr="00C069EB">
        <w:rPr>
          <w:i/>
          <w:iCs/>
          <w:sz w:val="20"/>
          <w:szCs w:val="20"/>
        </w:rPr>
        <w:t xml:space="preserve">, M., Musolino, A., Mazzoleni, G., Caldarella, A., </w:t>
      </w:r>
      <w:proofErr w:type="spellStart"/>
      <w:r w:rsidRPr="00C069EB">
        <w:rPr>
          <w:i/>
          <w:iCs/>
          <w:sz w:val="20"/>
          <w:szCs w:val="20"/>
        </w:rPr>
        <w:t>Minerba</w:t>
      </w:r>
      <w:proofErr w:type="spellEnd"/>
      <w:r w:rsidRPr="00C069EB">
        <w:rPr>
          <w:i/>
          <w:iCs/>
          <w:sz w:val="20"/>
          <w:szCs w:val="20"/>
        </w:rPr>
        <w:t xml:space="preserve">, S., Cascone, G., Bella, F., Dinaro, Y., Pau, L., &amp; Pinto, C. (2022). </w:t>
      </w:r>
      <w:r w:rsidRPr="00C069EB">
        <w:rPr>
          <w:i/>
          <w:iCs/>
          <w:sz w:val="20"/>
          <w:szCs w:val="20"/>
          <w:lang w:val="en-US"/>
        </w:rPr>
        <w:t>Breast Cancer in Italy: Stage and Region Distribution. Breast cancer (Dove Medical Press), 14, 125–131 https://doi.org/10.2147/BCTT.S360244</w:t>
      </w:r>
    </w:p>
    <w:p w14:paraId="2B5013B0" w14:textId="77777777" w:rsidR="00270E9B" w:rsidRPr="00C069EB" w:rsidRDefault="00270E9B" w:rsidP="00C069EB">
      <w:pPr>
        <w:pStyle w:val="Paragrafoelenco"/>
        <w:tabs>
          <w:tab w:val="left" w:pos="371"/>
        </w:tabs>
        <w:ind w:firstLine="0"/>
        <w:rPr>
          <w:i/>
          <w:iCs/>
          <w:sz w:val="24"/>
          <w:szCs w:val="28"/>
          <w:lang w:val="en-US"/>
        </w:rPr>
      </w:pPr>
    </w:p>
    <w:sectPr w:rsidR="00270E9B" w:rsidRPr="00C069EB">
      <w:headerReference w:type="default" r:id="rId7"/>
      <w:type w:val="continuous"/>
      <w:pgSz w:w="11910" w:h="16840"/>
      <w:pgMar w:top="1680" w:right="708" w:bottom="280" w:left="708" w:header="43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9625" w14:textId="77777777" w:rsidR="00A90335" w:rsidRDefault="00A90335">
      <w:r>
        <w:separator/>
      </w:r>
    </w:p>
  </w:endnote>
  <w:endnote w:type="continuationSeparator" w:id="0">
    <w:p w14:paraId="48019627" w14:textId="77777777" w:rsidR="00A90335" w:rsidRDefault="00A9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9621" w14:textId="77777777" w:rsidR="00A90335" w:rsidRDefault="00A90335">
      <w:r>
        <w:separator/>
      </w:r>
    </w:p>
  </w:footnote>
  <w:footnote w:type="continuationSeparator" w:id="0">
    <w:p w14:paraId="48019623" w14:textId="77777777" w:rsidR="00A90335" w:rsidRDefault="00A9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9620" w14:textId="77777777" w:rsidR="00613524" w:rsidRDefault="00A9033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0192" behindDoc="1" locked="0" layoutInCell="1" allowOverlap="1" wp14:anchorId="48019621" wp14:editId="48019622">
          <wp:simplePos x="0" y="0"/>
          <wp:positionH relativeFrom="page">
            <wp:posOffset>457200</wp:posOffset>
          </wp:positionH>
          <wp:positionV relativeFrom="page">
            <wp:posOffset>277203</wp:posOffset>
          </wp:positionV>
          <wp:extent cx="1429194" cy="3924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194" cy="392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FC8"/>
    <w:multiLevelType w:val="hybridMultilevel"/>
    <w:tmpl w:val="6DA60972"/>
    <w:lvl w:ilvl="0" w:tplc="8C4A97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43214"/>
    <w:multiLevelType w:val="hybridMultilevel"/>
    <w:tmpl w:val="B42A2ED2"/>
    <w:lvl w:ilvl="0" w:tplc="AE5EE530">
      <w:start w:val="1"/>
      <w:numFmt w:val="decimal"/>
      <w:lvlText w:val="%1."/>
      <w:lvlJc w:val="left"/>
      <w:pPr>
        <w:ind w:left="372" w:hanging="360"/>
        <w:jc w:val="left"/>
      </w:pPr>
      <w:rPr>
        <w:rFonts w:ascii="Arial" w:eastAsia="Arial" w:hAnsi="Arial" w:cs="Arial" w:hint="default"/>
        <w:b w:val="0"/>
        <w:bCs w:val="0"/>
        <w:i/>
        <w:iCs/>
        <w:color w:val="343739"/>
        <w:spacing w:val="0"/>
        <w:w w:val="100"/>
        <w:sz w:val="20"/>
        <w:szCs w:val="20"/>
        <w:lang w:val="it-IT" w:eastAsia="en-US" w:bidi="ar-SA"/>
      </w:rPr>
    </w:lvl>
    <w:lvl w:ilvl="1" w:tplc="E074742A"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 w:tplc="E1D8D8F2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 w:tplc="717E7736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 w:tplc="E46A4F38"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 w:tplc="9B1E589C"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 w:tplc="E43C5760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8D22BBCE"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 w:tplc="47304BE2"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 w16cid:durableId="1398286197">
    <w:abstractNumId w:val="1"/>
  </w:num>
  <w:num w:numId="2" w16cid:durableId="99302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524"/>
    <w:rsid w:val="00270E9B"/>
    <w:rsid w:val="00613524"/>
    <w:rsid w:val="00814043"/>
    <w:rsid w:val="00A90335"/>
    <w:rsid w:val="00C0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960A"/>
  <w15:docId w15:val="{45A60F21-3889-42BC-A44C-E638B867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spacing w:before="10"/>
      <w:ind w:left="371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Raffaella Tronchin</cp:lastModifiedBy>
  <cp:revision>4</cp:revision>
  <dcterms:created xsi:type="dcterms:W3CDTF">2025-05-27T14:47:00Z</dcterms:created>
  <dcterms:modified xsi:type="dcterms:W3CDTF">2025-05-27T14:53:00Z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2025-05-27T00:00:00Z</vt:filetime>
  </property>
  <property fmtid="{D5CDD505-2E9C-101B-9397-08002B2CF9AE}" pid="5" name="Producer">
    <vt:lpwstr>Adobe PDF Library 17.0</vt:lpwstr>
  </property>
</Properties>
</file>